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D8" w:rsidRPr="00777B3F" w:rsidRDefault="00777B3F" w:rsidP="00777B3F">
      <w:pPr>
        <w:widowControl/>
        <w:shd w:val="clear" w:color="auto" w:fill="FFFFFF"/>
        <w:spacing w:afterLines="10" w:after="31" w:line="300" w:lineRule="atLeast"/>
        <w:ind w:firstLineChars="196" w:firstLine="549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4"/>
        </w:rPr>
      </w:pPr>
      <w:r w:rsidRPr="00777B3F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4"/>
        </w:rPr>
        <w:t>重庆长安民生物流股份有限公司</w:t>
      </w:r>
    </w:p>
    <w:p w:rsidR="003A00DE" w:rsidRPr="003A00DE" w:rsidRDefault="003A00DE" w:rsidP="003A00DE">
      <w:pPr>
        <w:pStyle w:val="aa"/>
        <w:widowControl/>
        <w:numPr>
          <w:ilvl w:val="0"/>
          <w:numId w:val="1"/>
        </w:numPr>
        <w:shd w:val="clear" w:color="auto" w:fill="FFFFFF"/>
        <w:spacing w:afterLines="10" w:after="31" w:line="300" w:lineRule="atLeast"/>
        <w:ind w:firstLineChars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2"/>
          <w:szCs w:val="24"/>
        </w:rPr>
      </w:pPr>
      <w:r w:rsidRPr="003A00DE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  <w:szCs w:val="24"/>
        </w:rPr>
        <w:t>中国第三大汽车物流服务商</w:t>
      </w:r>
    </w:p>
    <w:p w:rsidR="003A00DE" w:rsidRPr="003A00DE" w:rsidRDefault="003A00DE" w:rsidP="003A00DE">
      <w:pPr>
        <w:pStyle w:val="aa"/>
        <w:widowControl/>
        <w:numPr>
          <w:ilvl w:val="0"/>
          <w:numId w:val="1"/>
        </w:numPr>
        <w:shd w:val="clear" w:color="auto" w:fill="FFFFFF"/>
        <w:spacing w:afterLines="10" w:after="31" w:line="300" w:lineRule="atLeast"/>
        <w:ind w:firstLineChars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2"/>
          <w:szCs w:val="24"/>
        </w:rPr>
      </w:pPr>
      <w:r w:rsidRPr="003A00DE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  <w:szCs w:val="24"/>
        </w:rPr>
        <w:t>香港上市公司</w:t>
      </w:r>
    </w:p>
    <w:p w:rsidR="003A00DE" w:rsidRPr="00777B3F" w:rsidRDefault="003A00DE" w:rsidP="00777B3F">
      <w:pPr>
        <w:pStyle w:val="aa"/>
        <w:widowControl/>
        <w:numPr>
          <w:ilvl w:val="0"/>
          <w:numId w:val="1"/>
        </w:numPr>
        <w:shd w:val="clear" w:color="auto" w:fill="FFFFFF"/>
        <w:spacing w:afterLines="10" w:after="31" w:line="300" w:lineRule="atLeast"/>
        <w:ind w:firstLineChars="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2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  <w:szCs w:val="24"/>
        </w:rPr>
        <w:t>央企控股</w:t>
      </w:r>
      <w:r w:rsidRPr="003A00DE"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  <w:szCs w:val="24"/>
        </w:rPr>
        <w:t>，中外合资</w:t>
      </w:r>
    </w:p>
    <w:p w:rsidR="001D451F" w:rsidRDefault="001D451F" w:rsidP="001D451F">
      <w:pPr>
        <w:widowControl/>
        <w:shd w:val="clear" w:color="auto" w:fill="FFFFFF"/>
        <w:spacing w:afterLines="10" w:after="31" w:line="300" w:lineRule="atLeast"/>
        <w:ind w:firstLineChars="196" w:firstLine="549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3961">
        <w:rPr>
          <w:rFonts w:ascii="微软雅黑" w:eastAsia="微软雅黑" w:hAnsi="微软雅黑" w:cs="宋体" w:hint="eastAsia"/>
          <w:b/>
          <w:bCs/>
          <w:color w:val="000000"/>
          <w:kern w:val="0"/>
          <w:sz w:val="28"/>
          <w:szCs w:val="24"/>
        </w:rPr>
        <w:t>企业简介：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重庆长安民生物流股份有限公司是一家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专业的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第三方汽车物流服务商及综合物流服务商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，为汽车主机厂提供零部件、整车、售后、国际货运、包装</w:t>
      </w:r>
      <w:r w:rsidRPr="006E666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、多式联运、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零部件分装制造等全供应链物流服务。</w:t>
      </w:r>
    </w:p>
    <w:p w:rsidR="001D451F" w:rsidRDefault="001D451F" w:rsidP="001D451F">
      <w:pPr>
        <w:widowControl/>
        <w:shd w:val="clear" w:color="auto" w:fill="FFFFFF"/>
        <w:spacing w:afterLines="10" w:after="31" w:line="30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3961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4"/>
        </w:rPr>
        <w:t>企业性质：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国有控股，中外合资，香港上市。公司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主要股东为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中国长安汽车股份有限公司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、民生实业（集团）有限公司、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新加坡美集物流，香港联交所上市</w:t>
      </w:r>
      <w:r w:rsidR="003A00D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公司（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股票代码为01292</w:t>
      </w:r>
      <w:r w:rsidR="003A00D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1D451F" w:rsidRPr="007A7A46" w:rsidRDefault="001D451F" w:rsidP="001D451F">
      <w:pPr>
        <w:widowControl/>
        <w:shd w:val="clear" w:color="auto" w:fill="FFFFFF"/>
        <w:spacing w:afterLines="10" w:after="31" w:line="30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3961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4"/>
        </w:rPr>
        <w:t>企业规模：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公司注册资本1.62亿元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，总资产42亿元，2016年营业收入68亿元，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在全国先后设立了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14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个分公司、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6家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全资子公司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，6家合资公司，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拥有员工</w:t>
      </w:r>
      <w:r w:rsidR="003A00D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000余人。</w:t>
      </w:r>
    </w:p>
    <w:p w:rsidR="001D451F" w:rsidRDefault="001D451F" w:rsidP="001D451F">
      <w:pPr>
        <w:widowControl/>
        <w:shd w:val="clear" w:color="auto" w:fill="FFFFFF"/>
        <w:spacing w:afterLines="10" w:after="31" w:line="300" w:lineRule="atLeast"/>
        <w:ind w:firstLineChars="200" w:firstLine="56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2B3961">
        <w:rPr>
          <w:rFonts w:ascii="微软雅黑" w:eastAsia="微软雅黑" w:hAnsi="微软雅黑" w:cs="宋体" w:hint="eastAsia"/>
          <w:b/>
          <w:color w:val="000000"/>
          <w:kern w:val="0"/>
          <w:sz w:val="28"/>
          <w:szCs w:val="24"/>
        </w:rPr>
        <w:t>行业地位：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中国汽车物流企业前三强，2016年中国物流企业50强，荣获</w:t>
      </w:r>
      <w:r w:rsidRPr="005D25D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中国物流与采购联合会授予“5A级综合服务型物流企业”称号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r w:rsidRPr="001C46E5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是国家发改委重点联系物流企业之一，也是国家商务部批准的国家级外商投资试点物流企业。</w:t>
      </w:r>
    </w:p>
    <w:p w:rsidR="007B51D8" w:rsidRPr="00220FBC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</w:t>
      </w:r>
      <w:r w:rsidRPr="00220FBC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、企业主要荣誉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国家商务部批准的“国家级外商投资试点物流企业”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国家科技部授予“现代物流优秀典型模式”称号</w:t>
      </w:r>
    </w:p>
    <w:p w:rsidR="007B51D8" w:rsidRPr="005D25D0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D25D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中国物流与采购联合会授予“5A级综合服务型物流企业”称号</w:t>
      </w:r>
    </w:p>
    <w:p w:rsidR="007B51D8" w:rsidRDefault="00777B3F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2016年中国物流百强企业12名</w:t>
      </w:r>
    </w:p>
    <w:p w:rsidR="00D14DD8" w:rsidRPr="00777B3F" w:rsidRDefault="00CA256C" w:rsidP="00777B3F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77B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连续</w:t>
      </w:r>
      <w:r w:rsidR="00777B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近</w:t>
      </w:r>
      <w:r w:rsidRPr="00777B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三年获得中国交通运输协会授予“全国先进物流企业”称号</w:t>
      </w:r>
    </w:p>
    <w:p w:rsidR="00D14DD8" w:rsidRPr="00777B3F" w:rsidRDefault="00CA256C" w:rsidP="00777B3F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777B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连续</w:t>
      </w:r>
      <w:r w:rsidR="00777B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近</w:t>
      </w:r>
      <w:r w:rsidRPr="00777B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三年获得长安福特授予“长安福特优秀供应商”称号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三</w:t>
      </w:r>
      <w:r w:rsidRPr="00DF06E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、招聘信息</w:t>
      </w:r>
    </w:p>
    <w:p w:rsidR="007B51D8" w:rsidRPr="00DF06ED" w:rsidRDefault="00C33351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需求</w:t>
      </w:r>
      <w:r w:rsidR="007B51D8"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专业：</w:t>
      </w:r>
    </w:p>
    <w:p w:rsidR="007B51D8" w:rsidRPr="00B3042E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1.物流与交通运输类（物流管理、物流工程、交通运输等）</w:t>
      </w:r>
    </w:p>
    <w:p w:rsidR="00CB36D5" w:rsidRPr="00B3042E" w:rsidRDefault="00CB36D5" w:rsidP="00CB36D5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.理工类（工业工程、机械</w:t>
      </w:r>
      <w:r w:rsidR="00FB6F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类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电气工程、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自动化、包装工程、数学等）</w:t>
      </w:r>
    </w:p>
    <w:p w:rsidR="00CB36D5" w:rsidRPr="00B3042E" w:rsidRDefault="00CB36D5" w:rsidP="00CB36D5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.工商管理类（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会计学、财务管理、</w:t>
      </w:r>
      <w:r w:rsidR="006858F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税务管理、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工商管理、人力资源管理、电子商务、市场营销等）</w:t>
      </w:r>
    </w:p>
    <w:p w:rsidR="00CB36D5" w:rsidRPr="00B3042E" w:rsidRDefault="00CB36D5" w:rsidP="00CB36D5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.计算机类（计算机科学与技术、网络工程、软件开发、</w:t>
      </w:r>
      <w:r w:rsidR="00950D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网页设计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等）</w:t>
      </w:r>
    </w:p>
    <w:p w:rsidR="007B51D8" w:rsidRPr="00B3042E" w:rsidRDefault="00CB36D5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.管理科学与工程类（管理科学、信息管理与信息系统等）</w:t>
      </w:r>
    </w:p>
    <w:p w:rsidR="007B51D8" w:rsidRPr="00B3042E" w:rsidRDefault="00CB36D5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</w:t>
      </w:r>
      <w:r w:rsidR="00DB4D3C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经济与贸易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类（统计学、金融学、经济学、国际经济与贸易等）</w:t>
      </w:r>
    </w:p>
    <w:p w:rsidR="007B51D8" w:rsidRPr="00B3042E" w:rsidRDefault="00CB36D5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安全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与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环境科学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类（安全工程、消防工程</w:t>
      </w:r>
      <w:r w:rsidR="00DB4D3C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、安全管理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950DE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环境工程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</w:p>
    <w:p w:rsidR="007B51D8" w:rsidRPr="00B3042E" w:rsidRDefault="00CB36D5" w:rsidP="007B51D8">
      <w:pPr>
        <w:ind w:firstLineChars="200" w:firstLine="480"/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语言与新闻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类（英语、汉语言文学</w:t>
      </w:r>
      <w:r w:rsidR="00DB4D3C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新闻学、广告学</w:t>
      </w:r>
      <w:r w:rsidR="007B51D8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等）</w:t>
      </w:r>
    </w:p>
    <w:p w:rsidR="00C303E0" w:rsidRPr="00B3042E" w:rsidRDefault="00CB36D5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9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.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政治与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法学类（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马克思主义理论、</w:t>
      </w:r>
      <w:r w:rsidR="00C303E0" w:rsidRPr="00B3042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法律</w:t>
      </w:r>
      <w:r w:rsidR="00C303E0" w:rsidRPr="00B3042E">
        <w:rPr>
          <w:rFonts w:ascii="微软雅黑" w:eastAsia="微软雅黑" w:hAnsi="微软雅黑" w:cs="宋体"/>
          <w:kern w:val="0"/>
          <w:sz w:val="24"/>
          <w:szCs w:val="24"/>
        </w:rPr>
        <w:t>、政治学与行政管理</w:t>
      </w:r>
      <w:r w:rsidR="00C303E0" w:rsidRPr="00B3042E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、思想政治教育等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</w:p>
    <w:p w:rsidR="00C303E0" w:rsidRPr="00B3042E" w:rsidRDefault="00CB36D5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10.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建筑类（</w:t>
      </w:r>
      <w:r w:rsidR="00950D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土木工程、</w:t>
      </w:r>
      <w:r w:rsidR="00C303E0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工程管理、工程监理等）</w:t>
      </w:r>
    </w:p>
    <w:p w:rsidR="007B51D8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薪酬福利：</w:t>
      </w:r>
    </w:p>
    <w:p w:rsidR="00520F57" w:rsidRPr="00520F57" w:rsidRDefault="00520F57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20F5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具有行业竞争力的薪酬</w:t>
      </w:r>
    </w:p>
    <w:p w:rsidR="007B51D8" w:rsidRPr="00DF06ED" w:rsidRDefault="007B51D8" w:rsidP="00C33351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◆基本工资</w:t>
      </w:r>
      <w:r w:rsidR="00C333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绩效奖金</w:t>
      </w:r>
      <w:r w:rsidR="00C333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CA1D09"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五险二金</w:t>
      </w:r>
      <w:r w:rsidR="00CA1D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安家费、住房补贴、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工作餐补贴、高温补贴、节日补贴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、通讯费补贴</w:t>
      </w:r>
      <w:r w:rsidR="00C333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生日津贴</w:t>
      </w:r>
      <w:r w:rsidR="00CA1D0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及工会福利</w:t>
      </w:r>
      <w:r w:rsidR="00C33351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等。</w:t>
      </w:r>
    </w:p>
    <w:p w:rsidR="007B51D8" w:rsidRPr="00DF06ED" w:rsidRDefault="007B51D8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相关培训：</w:t>
      </w:r>
    </w:p>
    <w:p w:rsidR="007B51D8" w:rsidRPr="00DF06ED" w:rsidRDefault="00520F57" w:rsidP="007B51D8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完善的培训体系：</w:t>
      </w:r>
      <w:r w:rsidR="007B51D8"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入职培训、拓展培训</w:t>
      </w:r>
      <w:r w:rsidR="001B37F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、送外培训</w:t>
      </w:r>
      <w:r w:rsidR="003F6DD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、网络学习、课堂直播</w:t>
      </w:r>
      <w:r w:rsidR="007B51D8" w:rsidRPr="00DF06E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等</w:t>
      </w:r>
      <w:r w:rsidR="003F6DD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7B51D8" w:rsidRPr="00C33351" w:rsidRDefault="007B51D8" w:rsidP="007B51D8">
      <w:pPr>
        <w:widowControl/>
        <w:shd w:val="clear" w:color="auto" w:fill="FFFFFF"/>
        <w:spacing w:afterLines="10" w:after="31" w:line="300" w:lineRule="atLeast"/>
        <w:ind w:firstLineChars="196" w:firstLine="47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33351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lastRenderedPageBreak/>
        <w:t>四、简历投递方式</w:t>
      </w:r>
    </w:p>
    <w:p w:rsidR="00950DED" w:rsidRPr="00950DED" w:rsidRDefault="00950DED" w:rsidP="00950DED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50DED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http://campus.51job.com/camsl2018</w:t>
      </w:r>
    </w:p>
    <w:p w:rsidR="007B51D8" w:rsidRDefault="007B51D8" w:rsidP="001501BC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五、招聘流程及行程安排</w:t>
      </w:r>
    </w:p>
    <w:p w:rsidR="007B51D8" w:rsidRDefault="007B51D8" w:rsidP="007B51D8">
      <w:pPr>
        <w:ind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宣讲会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现场咨询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简历投递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简历筛选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面试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复试</w:t>
      </w:r>
      <w:r w:rsidRPr="00CC16D6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—</w:t>
      </w:r>
      <w:r w:rsidRPr="00CC16D6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签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定三方协议</w:t>
      </w:r>
    </w:p>
    <w:tbl>
      <w:tblPr>
        <w:tblW w:w="8038" w:type="dxa"/>
        <w:tblInd w:w="534" w:type="dxa"/>
        <w:tblLook w:val="04A0" w:firstRow="1" w:lastRow="0" w:firstColumn="1" w:lastColumn="0" w:noHBand="0" w:noVBand="1"/>
      </w:tblPr>
      <w:tblGrid>
        <w:gridCol w:w="695"/>
        <w:gridCol w:w="1519"/>
        <w:gridCol w:w="2560"/>
        <w:gridCol w:w="3264"/>
      </w:tblGrid>
      <w:tr w:rsidR="00B3042E" w:rsidRPr="00B3042E" w:rsidTr="00B3042E">
        <w:trPr>
          <w:trHeight w:val="28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宣讲城市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宣讲院校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时间安排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重庆理工大学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武汉理工大学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合肥工业大学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东南大学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华南理工大学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中山大学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345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哈尔滨工业大学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345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FD7882" w:rsidRPr="00B3042E" w:rsidTr="00B06935">
        <w:trPr>
          <w:trHeight w:val="28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82" w:rsidRPr="00B3042E" w:rsidRDefault="00FD7882" w:rsidP="00B304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</w:t>
            </w:r>
          </w:p>
        </w:tc>
        <w:tc>
          <w:tcPr>
            <w:tcW w:w="15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82" w:rsidRPr="00B3042E" w:rsidRDefault="00FD7882" w:rsidP="00B3042E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82" w:rsidRPr="00B3042E" w:rsidRDefault="00FD7882" w:rsidP="00B304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师范大学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882" w:rsidRPr="00B3042E" w:rsidRDefault="00FD7882" w:rsidP="00B3042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  <w:bookmarkStart w:id="0" w:name="_GoBack"/>
        <w:bookmarkEnd w:id="0"/>
      </w:tr>
      <w:tr w:rsidR="00FD7882" w:rsidRPr="00B3042E" w:rsidTr="00B06935">
        <w:trPr>
          <w:trHeight w:val="282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2" w:rsidRPr="00B3042E" w:rsidRDefault="00FD7882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2" w:rsidRPr="00B3042E" w:rsidRDefault="00FD7882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2" w:rsidRPr="00B3042E" w:rsidRDefault="00FD7882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882" w:rsidRPr="00B3042E" w:rsidRDefault="00FD7882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长安大学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  <w:tr w:rsidR="00B3042E" w:rsidRPr="00B3042E" w:rsidTr="00B3042E">
        <w:trPr>
          <w:trHeight w:val="282"/>
        </w:trPr>
        <w:tc>
          <w:tcPr>
            <w:tcW w:w="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42E" w:rsidRPr="00B3042E" w:rsidRDefault="00B3042E" w:rsidP="00B304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西北工业大学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042E" w:rsidRPr="00B3042E" w:rsidRDefault="00B3042E" w:rsidP="00B304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3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参见该校就业网信息</w:t>
            </w:r>
          </w:p>
        </w:tc>
      </w:tr>
    </w:tbl>
    <w:p w:rsidR="007B51D8" w:rsidRPr="00DF06ED" w:rsidRDefault="007B51D8" w:rsidP="00B3042E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六</w:t>
      </w:r>
      <w:r w:rsidRPr="00DF06ED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、联系方式</w:t>
      </w:r>
    </w:p>
    <w:p w:rsidR="007B51D8" w:rsidRPr="00B3042E" w:rsidRDefault="007B51D8" w:rsidP="00B3042E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公司地址：重庆市渝北区</w:t>
      </w:r>
      <w:r w:rsidR="00B3042E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金开大道1881号长安民生信息大楼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="00B3042E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轨道3号线翠云轻轨站旁</w:t>
      </w: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），邮编</w:t>
      </w:r>
      <w:r w:rsidR="00B3042E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401120</w:t>
      </w:r>
    </w:p>
    <w:p w:rsidR="001C0439" w:rsidRPr="00B3042E" w:rsidRDefault="007B51D8" w:rsidP="00B3042E">
      <w:pPr>
        <w:widowControl/>
        <w:shd w:val="clear" w:color="auto" w:fill="FFFFFF"/>
        <w:spacing w:afterLines="10" w:after="31" w:line="300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联系方式： 023—</w:t>
      </w:r>
      <w:r w:rsidR="00C33351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88795440</w:t>
      </w:r>
      <w:r w:rsidR="00B3042E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（周先生）</w:t>
      </w:r>
      <w:r w:rsidR="00C33351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023-88795</w:t>
      </w:r>
      <w:r w:rsidR="00B3042E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447（董先生）</w:t>
      </w:r>
      <w:r w:rsidR="00C33351" w:rsidRPr="00B3042E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</w:t>
      </w:r>
    </w:p>
    <w:sectPr w:rsidR="001C0439" w:rsidRPr="00B3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BC4" w:rsidRDefault="00967BC4" w:rsidP="004B65DE">
      <w:r>
        <w:separator/>
      </w:r>
    </w:p>
  </w:endnote>
  <w:endnote w:type="continuationSeparator" w:id="0">
    <w:p w:rsidR="00967BC4" w:rsidRDefault="00967BC4" w:rsidP="004B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BC4" w:rsidRDefault="00967BC4" w:rsidP="004B65DE">
      <w:r>
        <w:separator/>
      </w:r>
    </w:p>
  </w:footnote>
  <w:footnote w:type="continuationSeparator" w:id="0">
    <w:p w:rsidR="00967BC4" w:rsidRDefault="00967BC4" w:rsidP="004B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3C8"/>
    <w:multiLevelType w:val="hybridMultilevel"/>
    <w:tmpl w:val="BD342A9A"/>
    <w:lvl w:ilvl="0" w:tplc="B76C1DE0">
      <w:start w:val="1"/>
      <w:numFmt w:val="bullet"/>
      <w:lvlText w:val="•"/>
      <w:lvlJc w:val="left"/>
      <w:pPr>
        <w:tabs>
          <w:tab w:val="num" w:pos="3998"/>
        </w:tabs>
        <w:ind w:left="3998" w:hanging="360"/>
      </w:pPr>
      <w:rPr>
        <w:rFonts w:ascii="Arial" w:hAnsi="Arial" w:hint="default"/>
      </w:rPr>
    </w:lvl>
    <w:lvl w:ilvl="1" w:tplc="809C6C4E" w:tentative="1">
      <w:start w:val="1"/>
      <w:numFmt w:val="bullet"/>
      <w:lvlText w:val="•"/>
      <w:lvlJc w:val="left"/>
      <w:pPr>
        <w:tabs>
          <w:tab w:val="num" w:pos="4718"/>
        </w:tabs>
        <w:ind w:left="4718" w:hanging="360"/>
      </w:pPr>
      <w:rPr>
        <w:rFonts w:ascii="Arial" w:hAnsi="Arial" w:hint="default"/>
      </w:rPr>
    </w:lvl>
    <w:lvl w:ilvl="2" w:tplc="58A41D7E" w:tentative="1">
      <w:start w:val="1"/>
      <w:numFmt w:val="bullet"/>
      <w:lvlText w:val="•"/>
      <w:lvlJc w:val="left"/>
      <w:pPr>
        <w:tabs>
          <w:tab w:val="num" w:pos="5438"/>
        </w:tabs>
        <w:ind w:left="5438" w:hanging="360"/>
      </w:pPr>
      <w:rPr>
        <w:rFonts w:ascii="Arial" w:hAnsi="Arial" w:hint="default"/>
      </w:rPr>
    </w:lvl>
    <w:lvl w:ilvl="3" w:tplc="B1849ECA" w:tentative="1">
      <w:start w:val="1"/>
      <w:numFmt w:val="bullet"/>
      <w:lvlText w:val="•"/>
      <w:lvlJc w:val="left"/>
      <w:pPr>
        <w:tabs>
          <w:tab w:val="num" w:pos="6158"/>
        </w:tabs>
        <w:ind w:left="6158" w:hanging="360"/>
      </w:pPr>
      <w:rPr>
        <w:rFonts w:ascii="Arial" w:hAnsi="Arial" w:hint="default"/>
      </w:rPr>
    </w:lvl>
    <w:lvl w:ilvl="4" w:tplc="19CE5A1E" w:tentative="1">
      <w:start w:val="1"/>
      <w:numFmt w:val="bullet"/>
      <w:lvlText w:val="•"/>
      <w:lvlJc w:val="left"/>
      <w:pPr>
        <w:tabs>
          <w:tab w:val="num" w:pos="6878"/>
        </w:tabs>
        <w:ind w:left="6878" w:hanging="360"/>
      </w:pPr>
      <w:rPr>
        <w:rFonts w:ascii="Arial" w:hAnsi="Arial" w:hint="default"/>
      </w:rPr>
    </w:lvl>
    <w:lvl w:ilvl="5" w:tplc="B02ABE5E" w:tentative="1">
      <w:start w:val="1"/>
      <w:numFmt w:val="bullet"/>
      <w:lvlText w:val="•"/>
      <w:lvlJc w:val="left"/>
      <w:pPr>
        <w:tabs>
          <w:tab w:val="num" w:pos="7598"/>
        </w:tabs>
        <w:ind w:left="7598" w:hanging="360"/>
      </w:pPr>
      <w:rPr>
        <w:rFonts w:ascii="Arial" w:hAnsi="Arial" w:hint="default"/>
      </w:rPr>
    </w:lvl>
    <w:lvl w:ilvl="6" w:tplc="9056BC38" w:tentative="1">
      <w:start w:val="1"/>
      <w:numFmt w:val="bullet"/>
      <w:lvlText w:val="•"/>
      <w:lvlJc w:val="left"/>
      <w:pPr>
        <w:tabs>
          <w:tab w:val="num" w:pos="8318"/>
        </w:tabs>
        <w:ind w:left="8318" w:hanging="360"/>
      </w:pPr>
      <w:rPr>
        <w:rFonts w:ascii="Arial" w:hAnsi="Arial" w:hint="default"/>
      </w:rPr>
    </w:lvl>
    <w:lvl w:ilvl="7" w:tplc="2AA09656" w:tentative="1">
      <w:start w:val="1"/>
      <w:numFmt w:val="bullet"/>
      <w:lvlText w:val="•"/>
      <w:lvlJc w:val="left"/>
      <w:pPr>
        <w:tabs>
          <w:tab w:val="num" w:pos="9038"/>
        </w:tabs>
        <w:ind w:left="9038" w:hanging="360"/>
      </w:pPr>
      <w:rPr>
        <w:rFonts w:ascii="Arial" w:hAnsi="Arial" w:hint="default"/>
      </w:rPr>
    </w:lvl>
    <w:lvl w:ilvl="8" w:tplc="03DA01A0" w:tentative="1">
      <w:start w:val="1"/>
      <w:numFmt w:val="bullet"/>
      <w:lvlText w:val="•"/>
      <w:lvlJc w:val="left"/>
      <w:pPr>
        <w:tabs>
          <w:tab w:val="num" w:pos="9758"/>
        </w:tabs>
        <w:ind w:left="9758" w:hanging="360"/>
      </w:pPr>
      <w:rPr>
        <w:rFonts w:ascii="Arial" w:hAnsi="Arial" w:hint="default"/>
      </w:rPr>
    </w:lvl>
  </w:abstractNum>
  <w:abstractNum w:abstractNumId="1" w15:restartNumberingAfterBreak="0">
    <w:nsid w:val="4A487C53"/>
    <w:multiLevelType w:val="hybridMultilevel"/>
    <w:tmpl w:val="875A1FD0"/>
    <w:lvl w:ilvl="0" w:tplc="0409000B">
      <w:start w:val="1"/>
      <w:numFmt w:val="bullet"/>
      <w:lvlText w:val=""/>
      <w:lvlJc w:val="left"/>
      <w:pPr>
        <w:ind w:left="96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7F"/>
    <w:rsid w:val="0001252D"/>
    <w:rsid w:val="00013ABD"/>
    <w:rsid w:val="00040734"/>
    <w:rsid w:val="00042A0C"/>
    <w:rsid w:val="00043984"/>
    <w:rsid w:val="0007664B"/>
    <w:rsid w:val="00080F99"/>
    <w:rsid w:val="00095B82"/>
    <w:rsid w:val="000B1545"/>
    <w:rsid w:val="000E27B0"/>
    <w:rsid w:val="00117730"/>
    <w:rsid w:val="00123966"/>
    <w:rsid w:val="00137AAF"/>
    <w:rsid w:val="00142409"/>
    <w:rsid w:val="00146DA3"/>
    <w:rsid w:val="001501BC"/>
    <w:rsid w:val="00151DB5"/>
    <w:rsid w:val="00192A61"/>
    <w:rsid w:val="001B37F3"/>
    <w:rsid w:val="001C00F2"/>
    <w:rsid w:val="001C0439"/>
    <w:rsid w:val="001D451F"/>
    <w:rsid w:val="001E2D9B"/>
    <w:rsid w:val="001E5398"/>
    <w:rsid w:val="00206FFF"/>
    <w:rsid w:val="002303B1"/>
    <w:rsid w:val="00237CD0"/>
    <w:rsid w:val="002443C7"/>
    <w:rsid w:val="0027356D"/>
    <w:rsid w:val="00273C29"/>
    <w:rsid w:val="00276BF1"/>
    <w:rsid w:val="00280DCC"/>
    <w:rsid w:val="00284992"/>
    <w:rsid w:val="002A281F"/>
    <w:rsid w:val="002A42FF"/>
    <w:rsid w:val="002C314A"/>
    <w:rsid w:val="002D68C7"/>
    <w:rsid w:val="002E7C97"/>
    <w:rsid w:val="00300AF5"/>
    <w:rsid w:val="0031629A"/>
    <w:rsid w:val="00333AAD"/>
    <w:rsid w:val="00354A41"/>
    <w:rsid w:val="00384C6B"/>
    <w:rsid w:val="0038572C"/>
    <w:rsid w:val="00386A7A"/>
    <w:rsid w:val="00387DAA"/>
    <w:rsid w:val="00393E7D"/>
    <w:rsid w:val="003A00DE"/>
    <w:rsid w:val="003A3372"/>
    <w:rsid w:val="003B75FB"/>
    <w:rsid w:val="003D1F0C"/>
    <w:rsid w:val="003E3D2E"/>
    <w:rsid w:val="003F6DDE"/>
    <w:rsid w:val="00407002"/>
    <w:rsid w:val="00410761"/>
    <w:rsid w:val="00413D25"/>
    <w:rsid w:val="004141DB"/>
    <w:rsid w:val="00420809"/>
    <w:rsid w:val="00422AD6"/>
    <w:rsid w:val="00432E79"/>
    <w:rsid w:val="004424F0"/>
    <w:rsid w:val="00461F79"/>
    <w:rsid w:val="00466CC0"/>
    <w:rsid w:val="004736CF"/>
    <w:rsid w:val="00485D78"/>
    <w:rsid w:val="004B65DE"/>
    <w:rsid w:val="004B774B"/>
    <w:rsid w:val="004D4C31"/>
    <w:rsid w:val="004F51C7"/>
    <w:rsid w:val="005037F4"/>
    <w:rsid w:val="005059EF"/>
    <w:rsid w:val="00512955"/>
    <w:rsid w:val="00513F56"/>
    <w:rsid w:val="00520F57"/>
    <w:rsid w:val="00544849"/>
    <w:rsid w:val="00544E48"/>
    <w:rsid w:val="00550905"/>
    <w:rsid w:val="0056338F"/>
    <w:rsid w:val="00570078"/>
    <w:rsid w:val="00596991"/>
    <w:rsid w:val="00597562"/>
    <w:rsid w:val="005A18D6"/>
    <w:rsid w:val="005A2B72"/>
    <w:rsid w:val="005D0D5B"/>
    <w:rsid w:val="005E1EED"/>
    <w:rsid w:val="005E2A16"/>
    <w:rsid w:val="00635CD2"/>
    <w:rsid w:val="00643582"/>
    <w:rsid w:val="00644993"/>
    <w:rsid w:val="006541C6"/>
    <w:rsid w:val="006630C4"/>
    <w:rsid w:val="006858FA"/>
    <w:rsid w:val="00695091"/>
    <w:rsid w:val="006A0D4D"/>
    <w:rsid w:val="00702281"/>
    <w:rsid w:val="007552A1"/>
    <w:rsid w:val="00775665"/>
    <w:rsid w:val="00777B3F"/>
    <w:rsid w:val="00782A08"/>
    <w:rsid w:val="007A3326"/>
    <w:rsid w:val="007A6EF9"/>
    <w:rsid w:val="007B51D8"/>
    <w:rsid w:val="007C4BF6"/>
    <w:rsid w:val="00811A8B"/>
    <w:rsid w:val="00814382"/>
    <w:rsid w:val="00820F11"/>
    <w:rsid w:val="00823D5F"/>
    <w:rsid w:val="0084112F"/>
    <w:rsid w:val="00857313"/>
    <w:rsid w:val="008668CF"/>
    <w:rsid w:val="00873475"/>
    <w:rsid w:val="008969E1"/>
    <w:rsid w:val="008A19BC"/>
    <w:rsid w:val="008D47C0"/>
    <w:rsid w:val="008D4F19"/>
    <w:rsid w:val="008E6CAA"/>
    <w:rsid w:val="008F6644"/>
    <w:rsid w:val="008F78E7"/>
    <w:rsid w:val="00901C9F"/>
    <w:rsid w:val="00946E14"/>
    <w:rsid w:val="00950DED"/>
    <w:rsid w:val="0095209B"/>
    <w:rsid w:val="00956868"/>
    <w:rsid w:val="00967BC4"/>
    <w:rsid w:val="009847BE"/>
    <w:rsid w:val="0098772D"/>
    <w:rsid w:val="009C083F"/>
    <w:rsid w:val="009D728A"/>
    <w:rsid w:val="009F37F8"/>
    <w:rsid w:val="00A060E2"/>
    <w:rsid w:val="00A212C7"/>
    <w:rsid w:val="00A243B8"/>
    <w:rsid w:val="00A43869"/>
    <w:rsid w:val="00A47459"/>
    <w:rsid w:val="00A479E8"/>
    <w:rsid w:val="00A528CF"/>
    <w:rsid w:val="00A62403"/>
    <w:rsid w:val="00A62BF8"/>
    <w:rsid w:val="00A8146E"/>
    <w:rsid w:val="00A832A8"/>
    <w:rsid w:val="00A8501F"/>
    <w:rsid w:val="00AB6703"/>
    <w:rsid w:val="00AC065E"/>
    <w:rsid w:val="00AC7ADB"/>
    <w:rsid w:val="00AD1AC0"/>
    <w:rsid w:val="00AD3C25"/>
    <w:rsid w:val="00AD49B9"/>
    <w:rsid w:val="00B06C1A"/>
    <w:rsid w:val="00B1313C"/>
    <w:rsid w:val="00B2198F"/>
    <w:rsid w:val="00B21DB2"/>
    <w:rsid w:val="00B3042E"/>
    <w:rsid w:val="00B6170F"/>
    <w:rsid w:val="00B82104"/>
    <w:rsid w:val="00B839CB"/>
    <w:rsid w:val="00B9710F"/>
    <w:rsid w:val="00BB2B12"/>
    <w:rsid w:val="00BC73CB"/>
    <w:rsid w:val="00BD72B6"/>
    <w:rsid w:val="00BE076D"/>
    <w:rsid w:val="00C003E1"/>
    <w:rsid w:val="00C029D9"/>
    <w:rsid w:val="00C21092"/>
    <w:rsid w:val="00C2298D"/>
    <w:rsid w:val="00C303E0"/>
    <w:rsid w:val="00C33351"/>
    <w:rsid w:val="00C36064"/>
    <w:rsid w:val="00C57DD4"/>
    <w:rsid w:val="00C711AB"/>
    <w:rsid w:val="00C91213"/>
    <w:rsid w:val="00C96CE5"/>
    <w:rsid w:val="00CA1D09"/>
    <w:rsid w:val="00CA256C"/>
    <w:rsid w:val="00CB36D5"/>
    <w:rsid w:val="00CC5A18"/>
    <w:rsid w:val="00CE0771"/>
    <w:rsid w:val="00CF1A4E"/>
    <w:rsid w:val="00D02E9A"/>
    <w:rsid w:val="00D076F3"/>
    <w:rsid w:val="00D1217F"/>
    <w:rsid w:val="00D14DD8"/>
    <w:rsid w:val="00D1700D"/>
    <w:rsid w:val="00D25E98"/>
    <w:rsid w:val="00D33060"/>
    <w:rsid w:val="00D35E9B"/>
    <w:rsid w:val="00D41B3D"/>
    <w:rsid w:val="00D54565"/>
    <w:rsid w:val="00D74EB5"/>
    <w:rsid w:val="00D95980"/>
    <w:rsid w:val="00DA1AD0"/>
    <w:rsid w:val="00DA61D3"/>
    <w:rsid w:val="00DB4D3C"/>
    <w:rsid w:val="00DE6139"/>
    <w:rsid w:val="00E05DBD"/>
    <w:rsid w:val="00E16163"/>
    <w:rsid w:val="00E337B2"/>
    <w:rsid w:val="00E35F1A"/>
    <w:rsid w:val="00E52B76"/>
    <w:rsid w:val="00E55F76"/>
    <w:rsid w:val="00E656FC"/>
    <w:rsid w:val="00E8221E"/>
    <w:rsid w:val="00E9301F"/>
    <w:rsid w:val="00F02FF7"/>
    <w:rsid w:val="00F16265"/>
    <w:rsid w:val="00F43BAB"/>
    <w:rsid w:val="00F56895"/>
    <w:rsid w:val="00F6681F"/>
    <w:rsid w:val="00F71899"/>
    <w:rsid w:val="00FB6FD5"/>
    <w:rsid w:val="00FD6584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564523"/>
  <w15:docId w15:val="{3F67C05E-95DF-488B-AB26-282FEA2C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D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B51D8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65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65DE"/>
    <w:rPr>
      <w:sz w:val="18"/>
      <w:szCs w:val="18"/>
    </w:rPr>
  </w:style>
  <w:style w:type="character" w:styleId="a9">
    <w:name w:val="Hyperlink"/>
    <w:basedOn w:val="a0"/>
    <w:uiPriority w:val="99"/>
    <w:unhideWhenUsed/>
    <w:rsid w:val="001501B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A00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538">
          <w:marLeft w:val="46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35">
          <w:marLeft w:val="46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8787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468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1355</Characters>
  <Application>Microsoft Office Word</Application>
  <DocSecurity>0</DocSecurity>
  <Lines>11</Lines>
  <Paragraphs>3</Paragraphs>
  <ScaleCrop>false</ScaleCrop>
  <Company>Lenovo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周立</dc:creator>
  <cp:lastModifiedBy>SK</cp:lastModifiedBy>
  <cp:revision>2</cp:revision>
  <dcterms:created xsi:type="dcterms:W3CDTF">2017-09-14T02:12:00Z</dcterms:created>
  <dcterms:modified xsi:type="dcterms:W3CDTF">2017-09-14T02:12:00Z</dcterms:modified>
</cp:coreProperties>
</file>